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380168" w:rsidP="003801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</w:t>
            </w:r>
            <w:r w:rsidR="00170700">
              <w:rPr>
                <w:rFonts w:ascii="Arial" w:hAnsi="Arial" w:cs="Arial"/>
                <w:color w:val="FF0000"/>
                <w:sz w:val="20"/>
                <w:szCs w:val="20"/>
              </w:rPr>
              <w:t xml:space="preserve">  –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Diciembre </w:t>
            </w:r>
            <w:r w:rsidR="00170700">
              <w:rPr>
                <w:rFonts w:ascii="Arial" w:hAnsi="Arial" w:cs="Arial"/>
                <w:color w:val="FF0000"/>
                <w:sz w:val="20"/>
                <w:szCs w:val="20"/>
              </w:rPr>
              <w:t>20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>17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F8600E" w:rsidP="00DC5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INVESTIGACION DE OPERACIONES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TODAS LAS CARRERAS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F8600E" w:rsidP="00F860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ADD-1025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F8600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2 HORAS PRACTICAS 3</w:t>
            </w:r>
            <w:r w:rsidR="00170700">
              <w:rPr>
                <w:rFonts w:ascii="Arial" w:hAnsi="Arial" w:cs="Arial"/>
                <w:sz w:val="20"/>
                <w:szCs w:val="20"/>
              </w:rPr>
              <w:t xml:space="preserve"> CREDITOS: 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5053AB" w:rsidRPr="00862CFC" w:rsidRDefault="00F8600E" w:rsidP="00DC50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00E">
              <w:rPr>
                <w:rFonts w:ascii="Arial" w:hAnsi="Arial" w:cs="Arial"/>
                <w:sz w:val="20"/>
                <w:szCs w:val="20"/>
              </w:rPr>
              <w:t xml:space="preserve">En esta asignatura se posibilita en el alumno el desarrollo y evaluación de modelos que le permitan responder de una manera rápida, efectiva y apropiada a la dinámica de las organizaciones y el desarrollo tecnológico. El futuro Ingeniero en Administración deberá apoyarse en los métodos de investigación de operaciones para analizar, modelar y mejorar los sistemas productivos en un enfoque cuantitativo para la toma de decisiones en las organizaciones que deseen ser más competitivas.   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5053AB" w:rsidRPr="00862CFC" w:rsidRDefault="00F8600E" w:rsidP="00F860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00E">
              <w:rPr>
                <w:rFonts w:ascii="Arial" w:hAnsi="Arial" w:cs="Arial"/>
                <w:sz w:val="20"/>
                <w:szCs w:val="20"/>
              </w:rPr>
              <w:t>Se propone que el enfoque de esta asignatura sea práctico ya que su contenido puede ser aplicado en situaciones reales para analizar, modelar y mejorar procesos productivos de bienes y servicios, así mismo, se recomienda incorporar a los alumnos en los laboratorios o incorporar visitas industriales que le permitan analizar y obtener datos para darles un tratamiento cuantita</w:t>
            </w:r>
            <w:r>
              <w:rPr>
                <w:rFonts w:ascii="Arial" w:hAnsi="Arial" w:cs="Arial"/>
                <w:sz w:val="20"/>
                <w:szCs w:val="20"/>
              </w:rPr>
              <w:t xml:space="preserve">tivo para la toma de decisiones, se organiza en 5 unidades. Introducción, método simplex, otros métodos: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Vogel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esquina noroeste otros métodos de transporte, colas,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5053AB" w:rsidRPr="00862CFC" w:rsidRDefault="00F8600E" w:rsidP="00FE1B9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00E">
              <w:rPr>
                <w:rFonts w:ascii="Arial" w:hAnsi="Arial" w:cs="Arial"/>
                <w:sz w:val="20"/>
                <w:szCs w:val="20"/>
              </w:rPr>
              <w:t xml:space="preserve">Aplicar las teorías, herramientas y métodos cuantitativos para plantear, modelar  y resolver problemas propios de las operaciones de una organización, utilizando el razonamiento matemático, la lógica, y los programas computacionales para optimizar los procesos productivos de bienes y servicios.   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380168" w:rsidRPr="00862CFC" w:rsidRDefault="00380168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FA66A5" w:rsidRPr="009D7A9F" w:rsidRDefault="00AC5848" w:rsidP="00FA66A5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FA66A5" w:rsidRPr="009D7A9F">
              <w:rPr>
                <w:b/>
                <w:sz w:val="20"/>
                <w:szCs w:val="20"/>
              </w:rPr>
              <w:t xml:space="preserve">.     </w:t>
            </w:r>
            <w:r>
              <w:rPr>
                <w:b/>
                <w:sz w:val="20"/>
                <w:szCs w:val="20"/>
              </w:rPr>
              <w:t>Problema del transporte y asignación</w:t>
            </w:r>
          </w:p>
          <w:p w:rsidR="005053AB" w:rsidRPr="00A02B93" w:rsidRDefault="00A02B93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053AB" w:rsidRPr="00862CFC" w:rsidRDefault="00AC5848" w:rsidP="00AC584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5848">
              <w:rPr>
                <w:rFonts w:ascii="Arial" w:hAnsi="Arial" w:cs="Arial"/>
                <w:sz w:val="20"/>
                <w:szCs w:val="20"/>
              </w:rPr>
              <w:t>Comprender y aplicar la metodología para la solución de problemas de asignación y transporte.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960AA" w:rsidTr="009D7A9F">
        <w:tc>
          <w:tcPr>
            <w:tcW w:w="3227" w:type="dxa"/>
          </w:tcPr>
          <w:p w:rsidR="005053AB" w:rsidRDefault="005053AB" w:rsidP="00A02B9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</w:p>
          <w:p w:rsidR="00AC5848" w:rsidRDefault="00AC5848" w:rsidP="00DC5014">
            <w:pPr>
              <w:ind w:right="6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C5848">
              <w:rPr>
                <w:rFonts w:ascii="Arial" w:hAnsi="Arial" w:cs="Arial"/>
                <w:sz w:val="20"/>
                <w:szCs w:val="20"/>
                <w:lang w:val="es-ES"/>
              </w:rPr>
              <w:t>3.1 Definición del problema de transporte</w:t>
            </w:r>
          </w:p>
          <w:p w:rsidR="00AC5848" w:rsidRDefault="00AC5848" w:rsidP="00DC5014">
            <w:pPr>
              <w:ind w:right="6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C5848">
              <w:rPr>
                <w:rFonts w:ascii="Arial" w:hAnsi="Arial" w:cs="Arial"/>
                <w:sz w:val="20"/>
                <w:szCs w:val="20"/>
                <w:lang w:val="es-ES"/>
              </w:rPr>
              <w:t xml:space="preserve"> 3.2 Definición del problema de asignación </w:t>
            </w:r>
          </w:p>
          <w:p w:rsidR="00AC5848" w:rsidRDefault="00AC5848" w:rsidP="00DC5014">
            <w:pPr>
              <w:ind w:right="6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C5848">
              <w:rPr>
                <w:rFonts w:ascii="Arial" w:hAnsi="Arial" w:cs="Arial"/>
                <w:sz w:val="20"/>
                <w:szCs w:val="20"/>
                <w:lang w:val="es-ES"/>
              </w:rPr>
              <w:t xml:space="preserve">3.3 Método de Esquina Noroeste 3.4 Método de Costo Mínimo </w:t>
            </w:r>
          </w:p>
          <w:p w:rsidR="00AC5848" w:rsidRDefault="00AC5848" w:rsidP="00DC5014">
            <w:pPr>
              <w:ind w:right="6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C5848">
              <w:rPr>
                <w:rFonts w:ascii="Arial" w:hAnsi="Arial" w:cs="Arial"/>
                <w:sz w:val="20"/>
                <w:szCs w:val="20"/>
                <w:lang w:val="es-ES"/>
              </w:rPr>
              <w:t xml:space="preserve">3.5 Método de Aproximación de </w:t>
            </w:r>
            <w:proofErr w:type="spellStart"/>
            <w:r w:rsidRPr="00AC5848">
              <w:rPr>
                <w:rFonts w:ascii="Arial" w:hAnsi="Arial" w:cs="Arial"/>
                <w:sz w:val="20"/>
                <w:szCs w:val="20"/>
                <w:lang w:val="es-ES"/>
              </w:rPr>
              <w:t>Vogel</w:t>
            </w:r>
            <w:proofErr w:type="spellEnd"/>
            <w:r w:rsidRPr="00AC58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A02B93" w:rsidRPr="00862CFC" w:rsidRDefault="00AC5848" w:rsidP="00DC501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AC5848">
              <w:rPr>
                <w:rFonts w:ascii="Arial" w:hAnsi="Arial" w:cs="Arial"/>
                <w:sz w:val="20"/>
                <w:szCs w:val="20"/>
                <w:lang w:val="es-ES"/>
              </w:rPr>
              <w:t>3.6 Método de Asignación</w:t>
            </w:r>
            <w:r w:rsidR="00DC5014" w:rsidRPr="00DC501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410" w:type="dxa"/>
          </w:tcPr>
          <w:p w:rsidR="00DC20BC" w:rsidRPr="00DC20BC" w:rsidRDefault="00AC5848" w:rsidP="008960A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Analizar modelos de transporte. </w:t>
            </w:r>
            <w:r w:rsidRPr="00AC5848">
              <w:rPr>
                <w:rFonts w:ascii="Arial" w:hAnsi="Arial" w:cs="Arial"/>
                <w:sz w:val="18"/>
                <w:szCs w:val="18"/>
              </w:rPr>
              <w:t xml:space="preserve"> Acudir a una empresa de la región que permita analizar, modelar y evaluar su sistema de transporte, interno y externo, p</w:t>
            </w:r>
            <w:r>
              <w:rPr>
                <w:rFonts w:ascii="Arial" w:hAnsi="Arial" w:cs="Arial"/>
                <w:sz w:val="18"/>
                <w:szCs w:val="18"/>
              </w:rPr>
              <w:t xml:space="preserve">ara proponer mejoras al mismo. </w:t>
            </w:r>
            <w:r w:rsidRPr="00AC5848">
              <w:rPr>
                <w:rFonts w:ascii="Arial" w:hAnsi="Arial" w:cs="Arial"/>
                <w:sz w:val="18"/>
                <w:szCs w:val="18"/>
              </w:rPr>
              <w:t xml:space="preserve"> Simular en el laboratorio condicion</w:t>
            </w:r>
            <w:r>
              <w:rPr>
                <w:rFonts w:ascii="Arial" w:hAnsi="Arial" w:cs="Arial"/>
                <w:sz w:val="18"/>
                <w:szCs w:val="18"/>
              </w:rPr>
              <w:t xml:space="preserve">es de asignación y transporte. </w:t>
            </w:r>
            <w:r w:rsidRPr="00AC5848">
              <w:rPr>
                <w:rFonts w:ascii="Arial" w:hAnsi="Arial" w:cs="Arial"/>
                <w:sz w:val="18"/>
                <w:szCs w:val="18"/>
              </w:rPr>
              <w:t xml:space="preserve"> Simular en software de aplicación los problemas de asignación y transporte</w:t>
            </w:r>
          </w:p>
        </w:tc>
        <w:tc>
          <w:tcPr>
            <w:tcW w:w="2693" w:type="dxa"/>
          </w:tcPr>
          <w:p w:rsidR="009C0EAD" w:rsidRDefault="00BB2F70" w:rsidP="009C0EAD">
            <w:pPr>
              <w:ind w:right="6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roponer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r</w:t>
            </w:r>
            <w:r w:rsidR="009C0EAD" w:rsidRP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esolución de casos 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prácticos de problemas reales.  Tareas de investigación.  Estudio de casos. </w:t>
            </w:r>
            <w:r w:rsidR="009C0EAD" w:rsidRP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Participación en taller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es de resolución de problemas. </w:t>
            </w:r>
            <w:r w:rsidR="009C0EAD" w:rsidRP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Prácticas en software de propósito general y especializado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 w:rsidR="009C0EAD" w:rsidRPr="009C0EAD">
              <w:rPr>
                <w:rFonts w:ascii="Arial" w:hAnsi="Arial" w:cs="Arial"/>
                <w:sz w:val="18"/>
                <w:szCs w:val="18"/>
                <w:lang w:eastAsia="es-MX"/>
              </w:rPr>
              <w:t xml:space="preserve"> Reportes escritos de las observaciones hechas durante las actividades, así como de las conclusiones obtenidas de dichas observacio</w:t>
            </w:r>
            <w:r w:rsidR="009C0EAD">
              <w:rPr>
                <w:rFonts w:ascii="Arial" w:hAnsi="Arial" w:cs="Arial"/>
                <w:sz w:val="18"/>
                <w:szCs w:val="18"/>
                <w:lang w:eastAsia="es-MX"/>
              </w:rPr>
              <w:t>nes. Dejar al alumno actividades independientes para analizar temas de la unidad.</w:t>
            </w:r>
          </w:p>
          <w:p w:rsidR="00BB2F70" w:rsidRPr="00ED50E2" w:rsidRDefault="0042149F" w:rsidP="009D7A9F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B2F70" w:rsidRPr="009D7A9F" w:rsidRDefault="00BB2F70" w:rsidP="00BB2F70">
            <w:pPr>
              <w:spacing w:line="259" w:lineRule="auto"/>
              <w:ind w:right="63"/>
              <w:rPr>
                <w:rFonts w:ascii="Arial" w:hAnsi="Arial" w:cs="Arial"/>
                <w:sz w:val="20"/>
                <w:szCs w:val="20"/>
              </w:rPr>
            </w:pPr>
          </w:p>
          <w:p w:rsidR="005053AB" w:rsidRPr="009D7A9F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AC5848" w:rsidRPr="00AC5848" w:rsidRDefault="00AC5848" w:rsidP="00AC5848">
            <w:pPr>
              <w:autoSpaceDE w:val="0"/>
              <w:autoSpaceDN w:val="0"/>
              <w:adjustRightInd w:val="0"/>
              <w:jc w:val="both"/>
              <w:rPr>
                <w:rFonts w:ascii="Arial" w:eastAsia="SymbolMT" w:hAnsi="Arial" w:cs="Arial"/>
                <w:sz w:val="18"/>
                <w:szCs w:val="18"/>
                <w:lang w:val="es-ES"/>
              </w:rPr>
            </w:pP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Contribuir en la formación del alumno a partir de inculcar en éste un espíritu crítico y un carácter emprendedor a través de:  </w:t>
            </w:r>
          </w:p>
          <w:p w:rsidR="008960AA" w:rsidRPr="008960AA" w:rsidRDefault="00AC5848" w:rsidP="00AC5848">
            <w:pPr>
              <w:autoSpaceDE w:val="0"/>
              <w:autoSpaceDN w:val="0"/>
              <w:adjustRightInd w:val="0"/>
              <w:jc w:val="both"/>
              <w:rPr>
                <w:rFonts w:ascii="Arial" w:eastAsia="SymbolMT" w:hAnsi="Arial" w:cs="Arial"/>
                <w:sz w:val="18"/>
                <w:szCs w:val="18"/>
                <w:lang w:val="es-ES"/>
              </w:rPr>
            </w:pP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Tomar decisiones administrativas en situaciones de certidumb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re, incertidumbre y  de riesgo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Aplicar conceptos de teoría de decisiones a decisiones secuenciales que incluyen eventos inc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iertos </w:t>
            </w:r>
            <w:proofErr w:type="gramStart"/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>( árboles</w:t>
            </w:r>
            <w:proofErr w:type="gramEnd"/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de decisión )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Tomar decisiones empleando métodos d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e programación lineal.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Desarrollar habilidades para formular problemas lineales reales en la Adminis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tración, Economía e industria.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Analizar e interpretar la información de cambios en la formulación de problemas de programación lineal para obtener soluc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iones óptimas.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Desarrollar habilidades para resolver una gran v</w:t>
            </w:r>
            <w:r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ariedad de problemas aplicados </w:t>
            </w:r>
            <w:r w:rsidRPr="00AC5848">
              <w:rPr>
                <w:rFonts w:ascii="Arial" w:eastAsia="SymbolMT" w:hAnsi="Arial" w:cs="Arial"/>
                <w:sz w:val="18"/>
                <w:szCs w:val="18"/>
                <w:lang w:val="es-ES"/>
              </w:rPr>
              <w:t xml:space="preserve"> Proponer soluciones creativas que generen ventajas competitivas para resolver problemas en las organizaciones empleando métodos cuantitativos. Utilizar las nuevas tecnologías de la información para</w:t>
            </w:r>
          </w:p>
          <w:p w:rsidR="005053AB" w:rsidRPr="008960AA" w:rsidRDefault="005053AB" w:rsidP="008960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1" w:type="dxa"/>
          </w:tcPr>
          <w:p w:rsidR="005053AB" w:rsidRPr="008960AA" w:rsidRDefault="00103235" w:rsidP="00103235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t>15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9D7A9F" w:rsidRDefault="002A1E7B" w:rsidP="0042149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</w:t>
            </w:r>
            <w:r w:rsidR="003A6013" w:rsidRPr="009D7A9F">
              <w:rPr>
                <w:sz w:val="20"/>
                <w:szCs w:val="20"/>
              </w:rPr>
              <w:t xml:space="preserve">s </w:t>
            </w:r>
            <w:r>
              <w:rPr>
                <w:sz w:val="20"/>
                <w:szCs w:val="20"/>
              </w:rPr>
              <w:t>diversas áreas de aplicación de l</w:t>
            </w:r>
            <w:r w:rsidR="009C0EAD">
              <w:rPr>
                <w:sz w:val="20"/>
                <w:szCs w:val="20"/>
              </w:rPr>
              <w:t xml:space="preserve">os problemas y los métodos para solucionarlos 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9D7A9F" w:rsidRDefault="003A6013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lastRenderedPageBreak/>
              <w:t xml:space="preserve">Identificar </w:t>
            </w:r>
            <w:r w:rsidR="0042149F">
              <w:rPr>
                <w:sz w:val="20"/>
                <w:szCs w:val="20"/>
              </w:rPr>
              <w:t>las diversas formas de representar</w:t>
            </w:r>
            <w:r w:rsidR="009C0EAD">
              <w:rPr>
                <w:sz w:val="20"/>
                <w:szCs w:val="20"/>
              </w:rPr>
              <w:t xml:space="preserve"> un problema mediante modelos estadísticos, y los presenta en clase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9D7A9F" w:rsidRDefault="00E63E4A" w:rsidP="0042149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 w:rsidR="0042149F">
              <w:rPr>
                <w:sz w:val="20"/>
                <w:szCs w:val="20"/>
              </w:rPr>
              <w:t xml:space="preserve">Resolver </w:t>
            </w:r>
            <w:r w:rsidR="009C0EAD">
              <w:rPr>
                <w:sz w:val="20"/>
                <w:szCs w:val="20"/>
              </w:rPr>
              <w:t>y plantear los problemas propuestos</w:t>
            </w:r>
            <w:r w:rsidR="002A1E7B">
              <w:rPr>
                <w:sz w:val="20"/>
                <w:szCs w:val="20"/>
              </w:rPr>
              <w:t xml:space="preserve"> y obtener la solución correcta.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9C0EAD" w:rsidP="009C0EAD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9C0EAD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2A1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Consulta desde diferentes fuentes y </w:t>
            </w:r>
            <w:r w:rsidR="002A1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guiados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653E3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  <w:r w:rsidR="002A1E7B">
              <w:t xml:space="preserve"> y forma.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2A1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</w:t>
            </w:r>
            <w:r w:rsidR="002A1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campo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653E3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2A1E7B">
            <w:pPr>
              <w:spacing w:after="0"/>
            </w:pPr>
            <w:r w:rsidRPr="00027038">
              <w:t xml:space="preserve">Realizó los ejercicios </w:t>
            </w:r>
            <w:r w:rsidR="00F06D09">
              <w:t>de cas</w:t>
            </w:r>
            <w:r w:rsidR="002A1E7B">
              <w:t>o propu</w:t>
            </w:r>
            <w:r w:rsidR="00D5316E">
              <w:t>e</w:t>
            </w:r>
            <w:r w:rsidR="002A1E7B">
              <w:t xml:space="preserve">stos </w:t>
            </w:r>
            <w:r w:rsidRPr="00027038">
              <w:t>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2A1E7B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Casos de estudio real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D5316E" w:rsidP="00D5316E">
            <w:pPr>
              <w:spacing w:after="0"/>
            </w:pPr>
            <w:r>
              <w:t xml:space="preserve">Desarrolló y modeló </w:t>
            </w:r>
            <w:r w:rsidR="00027038" w:rsidRPr="00027038">
              <w:t xml:space="preserve"> correctamente los </w:t>
            </w:r>
            <w:r>
              <w:t>casos de estudio real y obtuvo la solución correcta.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106009" w:rsidRPr="00862CFC" w:rsidRDefault="009C0EAD" w:rsidP="004203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0EAD">
              <w:rPr>
                <w:rFonts w:ascii="Arial" w:hAnsi="Arial" w:cs="Arial"/>
                <w:sz w:val="20"/>
                <w:szCs w:val="20"/>
              </w:rPr>
              <w:t>Hillier</w:t>
            </w:r>
            <w:proofErr w:type="spellEnd"/>
            <w:r w:rsidRPr="009C0EAD">
              <w:rPr>
                <w:rFonts w:ascii="Arial" w:hAnsi="Arial" w:cs="Arial"/>
                <w:sz w:val="20"/>
                <w:szCs w:val="20"/>
              </w:rPr>
              <w:t xml:space="preserve"> y Lieberman. Introducción a la Investigación de Operaciones. Ed. McGraw Hill, 5ta Edición. </w:t>
            </w:r>
            <w:r w:rsidRPr="009C0EAD">
              <w:rPr>
                <w:rFonts w:ascii="Arial" w:hAnsi="Arial" w:cs="Arial"/>
                <w:sz w:val="20"/>
                <w:szCs w:val="20"/>
              </w:rPr>
              <w:t> Handy A. Taha. Investigación de operaciones. Ed. Pearson</w:t>
            </w:r>
            <w:proofErr w:type="gramStart"/>
            <w:r w:rsidRPr="009C0EAD">
              <w:rPr>
                <w:rFonts w:ascii="Arial" w:hAnsi="Arial" w:cs="Arial"/>
                <w:sz w:val="20"/>
                <w:szCs w:val="20"/>
              </w:rPr>
              <w:t>,7</w:t>
            </w:r>
            <w:proofErr w:type="gramEnd"/>
            <w:r w:rsidRPr="009C0EAD">
              <w:rPr>
                <w:rFonts w:ascii="Arial" w:hAnsi="Arial" w:cs="Arial"/>
                <w:sz w:val="20"/>
                <w:szCs w:val="20"/>
              </w:rPr>
              <w:t>ª Edición.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o computadora personal</w:t>
            </w:r>
            <w:r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sitios web en</w:t>
            </w:r>
            <w:r w:rsidRPr="00CF4E9C">
              <w:rPr>
                <w:rFonts w:ascii="Arial" w:hAnsi="Arial" w:cs="Arial"/>
                <w:sz w:val="20"/>
                <w:szCs w:val="20"/>
              </w:rPr>
              <w:t xml:space="preserve"> internet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calculadora científica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software de a</w:t>
            </w:r>
            <w:r w:rsidR="009C0EAD">
              <w:rPr>
                <w:rFonts w:ascii="Arial" w:hAnsi="Arial" w:cs="Arial"/>
                <w:sz w:val="20"/>
                <w:szCs w:val="20"/>
              </w:rPr>
              <w:t xml:space="preserve">plicación </w:t>
            </w:r>
            <w:proofErr w:type="spellStart"/>
            <w:r w:rsidR="009C0EAD">
              <w:rPr>
                <w:rFonts w:ascii="Arial" w:hAnsi="Arial" w:cs="Arial"/>
                <w:sz w:val="20"/>
                <w:szCs w:val="20"/>
              </w:rPr>
              <w:t>winqsb</w:t>
            </w:r>
            <w:proofErr w:type="spellEnd"/>
            <w:r w:rsidR="009C0E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0"/>
        <w:gridCol w:w="750"/>
        <w:gridCol w:w="750"/>
        <w:gridCol w:w="750"/>
        <w:gridCol w:w="750"/>
        <w:gridCol w:w="750"/>
        <w:gridCol w:w="750"/>
        <w:gridCol w:w="750"/>
        <w:gridCol w:w="751"/>
        <w:gridCol w:w="754"/>
        <w:gridCol w:w="754"/>
        <w:gridCol w:w="754"/>
        <w:gridCol w:w="754"/>
        <w:gridCol w:w="756"/>
        <w:gridCol w:w="756"/>
        <w:gridCol w:w="756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FF065E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FF065E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FF065E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380168" w:rsidP="003801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CF4E9C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Agost</w:t>
            </w:r>
            <w:r w:rsidR="00CF4E9C">
              <w:rPr>
                <w:rFonts w:ascii="Arial" w:hAnsi="Arial" w:cs="Arial"/>
                <w:sz w:val="20"/>
                <w:szCs w:val="20"/>
              </w:rPr>
              <w:t>o 2017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0"/>
        <w:gridCol w:w="624"/>
        <w:gridCol w:w="3956"/>
        <w:gridCol w:w="4206"/>
      </w:tblGrid>
      <w:tr w:rsidR="009C0EAD" w:rsidRPr="00862CFC" w:rsidTr="009C0EAD">
        <w:trPr>
          <w:jc w:val="center"/>
        </w:trPr>
        <w:tc>
          <w:tcPr>
            <w:tcW w:w="4220" w:type="dxa"/>
            <w:tcBorders>
              <w:bottom w:val="single" w:sz="4" w:space="0" w:color="auto"/>
            </w:tcBorders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0EAD" w:rsidRPr="00862CFC" w:rsidTr="009C0EAD">
        <w:trPr>
          <w:jc w:val="center"/>
        </w:trPr>
        <w:tc>
          <w:tcPr>
            <w:tcW w:w="4220" w:type="dxa"/>
            <w:tcBorders>
              <w:top w:val="single" w:sz="4" w:space="0" w:color="auto"/>
            </w:tcBorders>
          </w:tcPr>
          <w:p w:rsidR="009C0EAD" w:rsidRPr="00862CFC" w:rsidRDefault="009C0EAD" w:rsidP="009C0EA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Lic.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Cristela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T. Rodela Sosa</w:t>
            </w:r>
          </w:p>
        </w:tc>
        <w:tc>
          <w:tcPr>
            <w:tcW w:w="624" w:type="dxa"/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:rsidR="009C0EAD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</w:tcBorders>
          </w:tcPr>
          <w:p w:rsidR="009C0EAD" w:rsidRPr="00862CFC" w:rsidRDefault="009C0EA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competencia(s) específica(s) que se pretende que el estudiante desarrolle de manera adecuada respondiendo a </w:t>
      </w:r>
      <w:proofErr w:type="spellStart"/>
      <w:r w:rsidRPr="00604BA3">
        <w:rPr>
          <w:rFonts w:ascii="Arial" w:hAnsi="Arial" w:cs="Arial"/>
          <w:sz w:val="20"/>
        </w:rPr>
        <w:t>lapregunta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 w:rsidR="00380168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>tecnológica.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Determinar, desde el inicio del semestre, las actividades y los productos que se esperan de dichas actividades; así como, los criterios con </w:t>
      </w:r>
      <w:proofErr w:type="spellStart"/>
      <w:r w:rsidRPr="00604BA3">
        <w:rPr>
          <w:rFonts w:ascii="Arial" w:hAnsi="Arial" w:cs="Arial"/>
          <w:sz w:val="20"/>
        </w:rPr>
        <w:t>queserán</w:t>
      </w:r>
      <w:proofErr w:type="spellEnd"/>
      <w:r w:rsidRPr="00604BA3">
        <w:rPr>
          <w:rFonts w:ascii="Arial" w:hAnsi="Arial" w:cs="Arial"/>
          <w:sz w:val="20"/>
        </w:rPr>
        <w:t xml:space="preserve">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42E" w:rsidRDefault="004B142E" w:rsidP="00862CFC">
      <w:pPr>
        <w:spacing w:after="0" w:line="240" w:lineRule="auto"/>
      </w:pPr>
      <w:r>
        <w:separator/>
      </w:r>
    </w:p>
  </w:endnote>
  <w:endnote w:type="continuationSeparator" w:id="0">
    <w:p w:rsidR="004B142E" w:rsidRDefault="004B142E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13" w:rsidRPr="00380168" w:rsidRDefault="003A6013">
    <w:pPr>
      <w:pStyle w:val="Piedepgina"/>
    </w:pPr>
    <w:r w:rsidRPr="00380168">
      <w:tab/>
    </w:r>
    <w:r w:rsidRPr="00380168">
      <w:tab/>
    </w:r>
    <w:r w:rsidRPr="00380168">
      <w:tab/>
    </w:r>
    <w:r w:rsidRPr="00380168">
      <w:tab/>
    </w:r>
    <w:r w:rsidRPr="00380168">
      <w:tab/>
    </w:r>
    <w:r w:rsidR="00380168" w:rsidRPr="00380168"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42E" w:rsidRDefault="004B142E" w:rsidP="00862CFC">
      <w:pPr>
        <w:spacing w:after="0" w:line="240" w:lineRule="auto"/>
      </w:pPr>
      <w:r>
        <w:separator/>
      </w:r>
    </w:p>
  </w:footnote>
  <w:footnote w:type="continuationSeparator" w:id="0">
    <w:p w:rsidR="004B142E" w:rsidRDefault="004B142E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1A3C"/>
    <w:rsid w:val="00015F7E"/>
    <w:rsid w:val="00016390"/>
    <w:rsid w:val="0001678B"/>
    <w:rsid w:val="00027038"/>
    <w:rsid w:val="000300FF"/>
    <w:rsid w:val="00031DD0"/>
    <w:rsid w:val="00055465"/>
    <w:rsid w:val="000626FF"/>
    <w:rsid w:val="000631FB"/>
    <w:rsid w:val="00070E72"/>
    <w:rsid w:val="000B7A39"/>
    <w:rsid w:val="000D2771"/>
    <w:rsid w:val="00103235"/>
    <w:rsid w:val="00106009"/>
    <w:rsid w:val="00160D9F"/>
    <w:rsid w:val="00170700"/>
    <w:rsid w:val="001D7549"/>
    <w:rsid w:val="00206F1D"/>
    <w:rsid w:val="00227DF1"/>
    <w:rsid w:val="00233468"/>
    <w:rsid w:val="00293FBE"/>
    <w:rsid w:val="002A1E7B"/>
    <w:rsid w:val="00373659"/>
    <w:rsid w:val="00380168"/>
    <w:rsid w:val="00395FE6"/>
    <w:rsid w:val="003A6013"/>
    <w:rsid w:val="003B6648"/>
    <w:rsid w:val="00420337"/>
    <w:rsid w:val="0042149F"/>
    <w:rsid w:val="00493A2D"/>
    <w:rsid w:val="004B142E"/>
    <w:rsid w:val="004C57D3"/>
    <w:rsid w:val="004F065B"/>
    <w:rsid w:val="005053AB"/>
    <w:rsid w:val="00536B92"/>
    <w:rsid w:val="00546051"/>
    <w:rsid w:val="005624BE"/>
    <w:rsid w:val="00590A65"/>
    <w:rsid w:val="00593663"/>
    <w:rsid w:val="00653E30"/>
    <w:rsid w:val="00654244"/>
    <w:rsid w:val="00744965"/>
    <w:rsid w:val="007A22EC"/>
    <w:rsid w:val="007F3E2A"/>
    <w:rsid w:val="00824F18"/>
    <w:rsid w:val="00862CFC"/>
    <w:rsid w:val="00865C4A"/>
    <w:rsid w:val="008960AA"/>
    <w:rsid w:val="008C7776"/>
    <w:rsid w:val="009905D5"/>
    <w:rsid w:val="00992C3B"/>
    <w:rsid w:val="009C0EAD"/>
    <w:rsid w:val="009D7A9F"/>
    <w:rsid w:val="00A02B93"/>
    <w:rsid w:val="00A37058"/>
    <w:rsid w:val="00A54D93"/>
    <w:rsid w:val="00AC3BE3"/>
    <w:rsid w:val="00AC5848"/>
    <w:rsid w:val="00AD3509"/>
    <w:rsid w:val="00AE14E7"/>
    <w:rsid w:val="00B23CAE"/>
    <w:rsid w:val="00B31A95"/>
    <w:rsid w:val="00BA5082"/>
    <w:rsid w:val="00BB2F70"/>
    <w:rsid w:val="00BE73D8"/>
    <w:rsid w:val="00BE7924"/>
    <w:rsid w:val="00C127DC"/>
    <w:rsid w:val="00C2069A"/>
    <w:rsid w:val="00CB257D"/>
    <w:rsid w:val="00CF4E9C"/>
    <w:rsid w:val="00D10B8D"/>
    <w:rsid w:val="00D5316E"/>
    <w:rsid w:val="00D56F0A"/>
    <w:rsid w:val="00DB206F"/>
    <w:rsid w:val="00DB7692"/>
    <w:rsid w:val="00DC20BC"/>
    <w:rsid w:val="00DC46A5"/>
    <w:rsid w:val="00DC5014"/>
    <w:rsid w:val="00DD7D08"/>
    <w:rsid w:val="00DE26A7"/>
    <w:rsid w:val="00E2258F"/>
    <w:rsid w:val="00E57E37"/>
    <w:rsid w:val="00E63E4A"/>
    <w:rsid w:val="00ED50E2"/>
    <w:rsid w:val="00F06D09"/>
    <w:rsid w:val="00F34D3D"/>
    <w:rsid w:val="00F8600E"/>
    <w:rsid w:val="00FA66A5"/>
    <w:rsid w:val="00FE1B97"/>
    <w:rsid w:val="00FF065E"/>
    <w:rsid w:val="16ACA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48D259-BC06-46B3-9B23-45CEB85E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0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2982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Cristela-r</cp:lastModifiedBy>
  <cp:revision>3</cp:revision>
  <cp:lastPrinted>2017-01-20T18:51:00Z</cp:lastPrinted>
  <dcterms:created xsi:type="dcterms:W3CDTF">2017-10-10T01:30:00Z</dcterms:created>
  <dcterms:modified xsi:type="dcterms:W3CDTF">2017-10-10T01:53:00Z</dcterms:modified>
</cp:coreProperties>
</file>